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i w:val="0"/>
          <w:color w:val="B3402F"/>
          <w:sz w:val="17"/>
        </w:rPr>
        <w:t>AI SECURITY WORKING RESOURCE</w:t>
      </w:r>
    </w:p>
    <w:p>
      <w:pPr>
        <w:keepNext/>
        <w:spacing w:before="0" w:after="160"/>
      </w:pPr>
      <w:r>
        <w:rPr>
          <w:rFonts w:ascii="Arial" w:hAnsi="Arial"/>
          <w:b/>
          <w:i w:val="0"/>
          <w:color w:val="16243A"/>
          <w:sz w:val="52"/>
        </w:rPr>
        <w:t>AI Agent Production-Readiness Worksheet</w:t>
      </w:r>
    </w:p>
    <w:p>
      <w:pPr>
        <w:spacing w:before="0" w:after="360"/>
      </w:pPr>
      <w:r>
        <w:rPr>
          <w:rFonts w:ascii="Arial" w:hAnsi="Arial"/>
          <w:b w:val="0"/>
          <w:i w:val="0"/>
          <w:color w:val="5B6675"/>
          <w:sz w:val="25"/>
        </w:rPr>
        <w:t>Map real authority, credentials, approvals, logs, and launch blockers before production access.</w:t>
      </w:r>
    </w:p>
    <w:p>
      <w:pPr>
        <w:pStyle w:val="Heading2"/>
      </w:pPr>
      <w:r>
        <w:t>Purpose</w:t>
      </w:r>
    </w:p>
    <w:p>
      <w:pPr>
        <w:spacing w:after="240"/>
      </w:pPr>
      <w:r>
        <w:rPr>
          <w:rFonts w:ascii="Arial" w:hAnsi="Arial"/>
          <w:b w:val="0"/>
          <w:i w:val="0"/>
          <w:color w:val="5B6675"/>
          <w:sz w:val="21"/>
        </w:rPr>
        <w:t>Use this workbook before a pilot expands or an AI agent receives production data, credentials, tools, memory, retrieval, or customer-facing authority.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System / program</w:t>
            </w:r>
          </w:p>
        </w:tc>
        <w:tc>
          <w:tcPr>
            <w:tcW w:type="dxa" w:w="7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Review owner</w:t>
            </w:r>
          </w:p>
        </w:tc>
        <w:tc>
          <w:tcPr>
            <w:tcW w:type="dxa" w:w="7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Environment</w:t>
            </w:r>
          </w:p>
        </w:tc>
        <w:tc>
          <w:tcPr>
            <w:tcW w:type="dxa" w:w="7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[ ] Prototype   [ ] Pilot   [ ] Production</w:t>
            </w:r>
          </w:p>
        </w:tc>
      </w:tr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Review date / next review</w:t>
            </w:r>
          </w:p>
        </w:tc>
        <w:tc>
          <w:tcPr>
            <w:tcW w:type="dxa" w:w="7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</w:tbl>
    <w:p>
      <w:pPr>
        <w:pStyle w:val="Heading2"/>
      </w:pPr>
      <w:r>
        <w:t>How to use this worksheet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20"/>
        </w:rPr>
        <w:t>[ ] Use one row per system, tool, credential, source, action, or test. Add rows in Word when needed.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20"/>
        </w:rPr>
        <w:t>[ ] Use factual system state. Do not place passwords, private keys, access tokens, or unnecessary personal data in the file.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20"/>
        </w:rPr>
        <w:t>[ ] Assign an owner and verification step to every blocker. Re-review after architecture, permission, or model changes.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20"/>
        </w:rPr>
        <w:t>[ ] This worksheet supports engineering review. It does not replace product-specific testing or a formal security assessment.</w:t>
      </w:r>
    </w:p>
    <w:p>
      <w:pPr>
        <w:spacing w:before="280" w:after="0"/>
      </w:pPr>
      <w:r>
        <w:rPr>
          <w:rFonts w:ascii="Arial" w:hAnsi="Arial"/>
          <w:b/>
          <w:i w:val="0"/>
          <w:color w:val="B3402F"/>
          <w:sz w:val="18"/>
        </w:rPr>
        <w:t>Handling note: keep credentials, customer identifiers, and restricted system details out of shareable copies.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i w:val="0"/>
          <w:color w:val="B3402F"/>
          <w:sz w:val="17"/>
        </w:rPr>
        <w:t>WORKSHEET 01</w:t>
      </w:r>
    </w:p>
    <w:p>
      <w:pPr>
        <w:pStyle w:val="Heading1"/>
      </w:pPr>
      <w:r>
        <w:t>Authority inventory</w:t>
      </w:r>
    </w:p>
    <w:p>
      <w:pPr>
        <w:spacing w:after="240"/>
      </w:pPr>
      <w:r>
        <w:rPr>
          <w:rFonts w:ascii="Arial" w:hAnsi="Arial"/>
          <w:b w:val="0"/>
          <w:i w:val="0"/>
          <w:color w:val="5B6675"/>
          <w:sz w:val="21"/>
        </w:rPr>
        <w:t>Create one row for every action the agent can request or perform. Describe the production target, not only the tool name.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2500"/>
        <w:gridCol w:w="1200"/>
        <w:gridCol w:w="3560"/>
      </w:tblGrid>
      <w:tr>
        <w:trPr>
          <w:tblHeader w:val="true"/>
        </w:trPr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Action or capability</w:t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Target / data touched</w:t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Class</w:t>
            </w:r>
          </w:p>
        </w:tc>
        <w:tc>
          <w:tcPr>
            <w:tcW w:type="dxa" w:w="3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Owner and current control</w:t>
            </w:r>
          </w:p>
        </w:tc>
      </w:tr>
      <w:tr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3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3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3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3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3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3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3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</w:tbl>
    <w:p>
      <w:pPr>
        <w:pStyle w:val="Heading2"/>
      </w:pPr>
      <w:r>
        <w:t>Review prompts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Action classes used: read, write, delete, send, execute, approve, retrieve, remember, deploy, or spend.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Mark any capability that crosses a tenant, customer, environment, financial, or public boundary.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Record the server-side policy that constrains the action. Do not treat model instructions as authorization.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i w:val="0"/>
          <w:color w:val="B3402F"/>
          <w:sz w:val="17"/>
        </w:rPr>
        <w:t>WORKSHEET 02</w:t>
      </w:r>
    </w:p>
    <w:p>
      <w:pPr>
        <w:pStyle w:val="Heading1"/>
      </w:pPr>
      <w:r>
        <w:t>Credentials and delegated access</w:t>
      </w:r>
    </w:p>
    <w:p>
      <w:pPr>
        <w:spacing w:after="240"/>
      </w:pPr>
      <w:r>
        <w:rPr>
          <w:rFonts w:ascii="Arial" w:hAnsi="Arial"/>
          <w:b w:val="0"/>
          <w:i w:val="0"/>
          <w:color w:val="5B6675"/>
          <w:sz w:val="21"/>
        </w:rPr>
        <w:t>List every token, session, API key, OAuth grant, service identity, or delegated account the agent or its tools can use.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1800"/>
        <w:gridCol w:w="2500"/>
        <w:gridCol w:w="3160"/>
      </w:tblGrid>
      <w:tr>
        <w:trPr>
          <w:tblHeader w:val="true"/>
        </w:trP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Credential / identity</w:t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Owner and environment</w:t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Scope and lifetime</w:t>
            </w:r>
          </w:p>
        </w:tc>
        <w:tc>
          <w:tcPr>
            <w:tcW w:type="dxa" w:w="3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Revocation and storage notes</w:t>
            </w:r>
          </w:p>
        </w:tc>
      </w:tr>
      <w:t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3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3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3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3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3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3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3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</w:tbl>
    <w:p>
      <w:pPr>
        <w:pStyle w:val="Heading2"/>
      </w:pPr>
      <w:r>
        <w:t>Review prompts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Prefer user-bound and short-lived access when the action represents a human user.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Confirm where credentials are stored, how they rotate, and who can revoke them during an incident.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Flag shared service credentials that combine unrelated tools or environments.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i w:val="0"/>
          <w:color w:val="B3402F"/>
          <w:sz w:val="17"/>
        </w:rPr>
        <w:t>WORKSHEET 03</w:t>
      </w:r>
    </w:p>
    <w:p>
      <w:pPr>
        <w:pStyle w:val="Heading1"/>
      </w:pPr>
      <w:r>
        <w:t>Memory, retrieval, and data boundaries</w:t>
      </w:r>
    </w:p>
    <w:p>
      <w:pPr>
        <w:spacing w:after="240"/>
      </w:pPr>
      <w:r>
        <w:rPr>
          <w:rFonts w:ascii="Arial" w:hAnsi="Arial"/>
          <w:b w:val="0"/>
          <w:i w:val="0"/>
          <w:color w:val="5B6675"/>
          <w:sz w:val="21"/>
        </w:rPr>
        <w:t>Review each durable memory or retrieval source against tenant, role, retention, deletion, trust, and source-authorization requirements.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0"/>
        <w:gridCol w:w="3360"/>
      </w:tblGrid>
      <w:tr>
        <w:trPr>
          <w:tblHeader w:val="true"/>
        </w:trPr>
        <w:tc>
          <w:tcPr>
            <w:tcW w:type="dxa" w:w="6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Control check</w:t>
            </w:r>
          </w:p>
        </w:tc>
        <w:tc>
          <w:tcPr>
            <w:tcW w:type="dxa" w:w="3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Status and notes</w:t>
            </w:r>
          </w:p>
        </w:tc>
      </w:tr>
      <w:tr>
        <w:tc>
          <w:tcPr>
            <w:tcW w:type="dxa" w:w="6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A user cannot retrieve material they could not open in the source system.</w:t>
            </w:r>
          </w:p>
        </w:tc>
        <w:tc>
          <w:tcPr>
            <w:tcW w:type="dxa" w:w="3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[ ] Yes   [ ] No   [ ] N/A</w:t>
              <w:br/>
            </w:r>
          </w:p>
        </w:tc>
      </w:tr>
      <w:tr>
        <w:tc>
          <w:tcPr>
            <w:tcW w:type="dxa" w:w="6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Tenant and role filters are enforced before results enter model context.</w:t>
            </w:r>
          </w:p>
        </w:tc>
        <w:tc>
          <w:tcPr>
            <w:tcW w:type="dxa" w:w="3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[ ] Yes   [ ] No   [ ] N/A</w:t>
              <w:br/>
            </w:r>
          </w:p>
        </w:tc>
      </w:tr>
      <w:tr>
        <w:tc>
          <w:tcPr>
            <w:tcW w:type="dxa" w:w="6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Memory writes record the user, source, purpose, retention period, and deletion path.</w:t>
            </w:r>
          </w:p>
        </w:tc>
        <w:tc>
          <w:tcPr>
            <w:tcW w:type="dxa" w:w="3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[ ] Yes   [ ] No   [ ] N/A</w:t>
              <w:br/>
            </w:r>
          </w:p>
        </w:tc>
      </w:tr>
      <w:tr>
        <w:tc>
          <w:tcPr>
            <w:tcW w:type="dxa" w:w="6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Retrieved documents and tool output are treated as untrusted data, not policy.</w:t>
            </w:r>
          </w:p>
        </w:tc>
        <w:tc>
          <w:tcPr>
            <w:tcW w:type="dxa" w:w="3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[ ] Yes   [ ] No   [ ] N/A</w:t>
              <w:br/>
            </w:r>
          </w:p>
        </w:tc>
      </w:tr>
      <w:tr>
        <w:tc>
          <w:tcPr>
            <w:tcW w:type="dxa" w:w="6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Citations or source references do not reveal restricted titles, paths, or metadata.</w:t>
            </w:r>
          </w:p>
        </w:tc>
        <w:tc>
          <w:tcPr>
            <w:tcW w:type="dxa" w:w="3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[ ] Yes   [ ] No   [ ] N/A</w:t>
              <w:br/>
            </w:r>
          </w:p>
        </w:tc>
      </w:tr>
      <w:tr>
        <w:tc>
          <w:tcPr>
            <w:tcW w:type="dxa" w:w="6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A user can request correction or deletion when product commitments require it.</w:t>
            </w:r>
          </w:p>
        </w:tc>
        <w:tc>
          <w:tcPr>
            <w:tcW w:type="dxa" w:w="3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[ ] Yes   [ ] No   [ ] N/A</w:t>
              <w:br/>
            </w:r>
          </w:p>
        </w:tc>
      </w:tr>
    </w:tbl>
    <w:p>
      <w:pPr>
        <w:pStyle w:val="Heading2"/>
      </w:pPr>
      <w:r>
        <w:t>Boundary exceptions, open questions, and owners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  <w:t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  <w:t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  <w:t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</w:tbl>
    <w:p>
      <w:r>
        <w:br w:type="page"/>
      </w:r>
    </w:p>
    <w:p>
      <w:pPr>
        <w:spacing w:before="0" w:after="80"/>
      </w:pPr>
      <w:r>
        <w:rPr>
          <w:rFonts w:ascii="Arial" w:hAnsi="Arial"/>
          <w:b/>
          <w:i w:val="0"/>
          <w:color w:val="B3402F"/>
          <w:sz w:val="17"/>
        </w:rPr>
        <w:t>WORKSHEET 04</w:t>
      </w:r>
    </w:p>
    <w:p>
      <w:pPr>
        <w:pStyle w:val="Heading1"/>
      </w:pPr>
      <w:r>
        <w:t>Approval gates and action records</w:t>
      </w:r>
    </w:p>
    <w:p>
      <w:pPr>
        <w:spacing w:after="240"/>
      </w:pPr>
      <w:r>
        <w:rPr>
          <w:rFonts w:ascii="Arial" w:hAnsi="Arial"/>
          <w:b w:val="0"/>
          <w:i w:val="0"/>
          <w:color w:val="5B6675"/>
          <w:sz w:val="21"/>
        </w:rPr>
        <w:t>High-impact actions need a server-side gate that shows the human what will happen and records the decision before execution.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000"/>
        <w:gridCol w:w="2200"/>
        <w:gridCol w:w="3160"/>
      </w:tblGrid>
      <w:tr>
        <w:trPr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High-impact action</w:t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Approval trigger</w:t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Human preview</w:t>
            </w:r>
          </w:p>
        </w:tc>
        <w:tc>
          <w:tcPr>
            <w:tcW w:type="dxa" w:w="3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Record location and rollback</w:t>
            </w:r>
          </w:p>
        </w:tc>
      </w:tr>
      <w:t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3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3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3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3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3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3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3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</w:tbl>
    <w:p>
      <w:pPr>
        <w:pStyle w:val="Heading2"/>
      </w:pPr>
      <w:r>
        <w:t>Review prompts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Preview the exact target, recipient, account, resource, amount, or change before approval.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Record the human principal, decision, tool arguments, result, timestamp, and denied attempts.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Test emergency disablement without relying on the model or the same tool path being disabled.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i w:val="0"/>
          <w:color w:val="B3402F"/>
          <w:sz w:val="17"/>
        </w:rPr>
        <w:t>WORKSHEET 05</w:t>
      </w:r>
    </w:p>
    <w:p>
      <w:pPr>
        <w:pStyle w:val="Heading1"/>
      </w:pPr>
      <w:r>
        <w:t>Launch blocker register and decision</w:t>
      </w:r>
    </w:p>
    <w:p>
      <w:pPr>
        <w:spacing w:after="240"/>
      </w:pPr>
      <w:r>
        <w:rPr>
          <w:rFonts w:ascii="Arial" w:hAnsi="Arial"/>
          <w:b w:val="0"/>
          <w:i w:val="0"/>
          <w:color w:val="5B6675"/>
          <w:sz w:val="21"/>
        </w:rPr>
        <w:t>A manipulated prompt, retrieved document, or tool result that can cause an unapproved high-impact action is a launch blocker until the authority path is contained.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1100"/>
        <w:gridCol w:w="2560"/>
        <w:gridCol w:w="1500"/>
        <w:gridCol w:w="1600"/>
      </w:tblGrid>
      <w:tr>
        <w:trPr>
          <w:tblHeader w:val="true"/>
        </w:trPr>
        <w:tc>
          <w:tcPr>
            <w:tcW w:type="dxa" w:w="2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Blocker or condition</w:t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Severity</w:t>
            </w:r>
          </w:p>
        </w:tc>
        <w:tc>
          <w:tcPr>
            <w:tcW w:type="dxa" w:w="2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Required change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Owner</w:t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Due / verified</w:t>
            </w:r>
          </w:p>
        </w:tc>
      </w:tr>
      <w:tr>
        <w:tc>
          <w:tcPr>
            <w:tcW w:type="dxa" w:w="2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</w:tbl>
    <w:p>
      <w:pPr>
        <w:pStyle w:val="Heading2"/>
      </w:pPr>
      <w:r>
        <w:t>Decision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Release posture</w:t>
            </w:r>
          </w:p>
        </w:tc>
        <w:tc>
          <w:tcPr>
            <w:tcW w:type="dxa" w:w="7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[ ] Ready   [ ] Limited pilot   [ ] Blocked   [ ] Formal assessment needed</w:t>
            </w:r>
          </w:p>
        </w:tc>
      </w:tr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Conditions to proceed</w:t>
            </w:r>
          </w:p>
        </w:tc>
        <w:tc>
          <w:tcPr>
            <w:tcW w:type="dxa" w:w="7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Decision owner / date</w:t>
            </w:r>
          </w:p>
        </w:tc>
        <w:tc>
          <w:tcPr>
            <w:tcW w:type="dxa" w:w="7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Next verification</w:t>
            </w:r>
          </w:p>
        </w:tc>
        <w:tc>
          <w:tcPr>
            <w:tcW w:type="dxa" w:w="7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</w:tbl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/>
        <w:b w:val="0"/>
        <w:i w:val="0"/>
        <w:color w:val="5B6675"/>
        <w:sz w:val="16"/>
      </w:rPr>
      <w:t xml:space="preserve">TKOResearch | tkoresearch.com | </w:t>
    </w:r>
    <w:r>
      <w:rPr>
        <w:rFonts w:ascii="Arial" w:hAnsi="Arial"/>
        <w:b w:val="0"/>
        <w:i w:val="0"/>
        <w:color w:val="5B6675"/>
        <w:sz w:val="16"/>
      </w:rPr>
      <w:fldChar w:fldCharType="begin"/>
      <w:instrText xml:space="preserve">PAGE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Arial" w:hAnsi="Arial"/>
        <w:b/>
        <w:i w:val="0"/>
        <w:color w:val="5B6675"/>
        <w:sz w:val="16"/>
      </w:rPr>
      <w:t>TKORESEARCH / AI AGENT PRODUCTION-READINESS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/>
      <w:color w:val="16243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/>
      <w:b/>
      <w:bCs/>
      <w:color w:val="B3402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/>
      <w:b/>
      <w:bCs/>
      <w:color w:val="B3402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1624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Agent Production-Readiness Worksheet</dc:title>
  <dc:subject>Editable AI security worksheet</dc:subject>
  <dc:creator/>
  <cp:keywords>AI security, worksheet, assessment, engineering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