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AI SECURITY WORKING RESOURCE</w:t>
      </w:r>
    </w:p>
    <w:p>
      <w:pPr>
        <w:keepNext/>
        <w:spacing w:before="0" w:after="160"/>
      </w:pPr>
      <w:r>
        <w:rPr>
          <w:rFonts w:ascii="Arial" w:hAnsi="Arial"/>
          <w:b/>
          <w:i w:val="0"/>
          <w:color w:val="16243A"/>
          <w:sz w:val="52"/>
        </w:rPr>
        <w:t>MCP Tool Inventory and Blast-Radius Worksheet</w:t>
      </w:r>
    </w:p>
    <w:p>
      <w:pPr>
        <w:spacing w:before="0" w:after="360"/>
      </w:pPr>
      <w:r>
        <w:rPr>
          <w:rFonts w:ascii="Arial" w:hAnsi="Arial"/>
          <w:b w:val="0"/>
          <w:i w:val="0"/>
          <w:color w:val="5B6675"/>
          <w:sz w:val="25"/>
        </w:rPr>
        <w:t>List MCP servers, tools, scopes, credentials, action classes, approval gates, logs, and shutdown paths.</w:t>
      </w:r>
    </w:p>
    <w:p>
      <w:pPr>
        <w:pStyle w:val="Heading2"/>
      </w:pPr>
      <w:r>
        <w:t>Purpose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Complete this workbook before an MCP client receives access to internal systems, SaaS accounts, file stores, databases, messaging, repositories, deployment, or payment tools.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System / program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owner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Environment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Prototype   [ ] Pilot   [ ] Production</w:t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date / next review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</w:tbl>
    <w:p>
      <w:pPr>
        <w:pStyle w:val="Heading2"/>
      </w:pPr>
      <w:r>
        <w:t>How to use this worksheet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20"/>
        </w:rPr>
        <w:t>[ ] Use one row per system, tool, credential, source, action, or test. Add rows in Word when needed.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20"/>
        </w:rPr>
        <w:t>[ ] Use factual system state. Do not place passwords, private keys, access tokens, or unnecessary personal data in the file.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20"/>
        </w:rPr>
        <w:t>[ ] Assign an owner and verification step to every blocker. Re-review after architecture, permission, or model changes.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20"/>
        </w:rPr>
        <w:t>[ ] This worksheet supports engineering review. It does not replace product-specific testing or a formal security assessment.</w:t>
      </w:r>
    </w:p>
    <w:p>
      <w:pPr>
        <w:spacing w:before="280" w:after="0"/>
      </w:pPr>
      <w:r>
        <w:rPr>
          <w:rFonts w:ascii="Arial" w:hAnsi="Arial"/>
          <w:b/>
          <w:i w:val="0"/>
          <w:color w:val="B3402F"/>
          <w:sz w:val="18"/>
        </w:rPr>
        <w:t>Handling note: keep credentials, customer identifiers, and restricted system details out of shareable copies.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WORKSHEET 01</w:t>
      </w:r>
    </w:p>
    <w:p>
      <w:pPr>
        <w:pStyle w:val="Heading1"/>
      </w:pPr>
      <w:r>
        <w:t>MCP server and client inventory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Record each server-client relationship separately. A server that is safe for one client or environment may create a different exposure elsewhere.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1700"/>
        <w:gridCol w:w="1300"/>
        <w:gridCol w:w="2560"/>
        <w:gridCol w:w="2100"/>
      </w:tblGrid>
      <w:tr>
        <w:trPr>
          <w:tblHeader w:val="true"/>
        </w:trPr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Server / transport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Client and owner</w:t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Environment</w:t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Systems and data reached</w:t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Network / trust notes</w:t>
            </w:r>
          </w:p>
        </w:tc>
      </w:tr>
      <w:tr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</w:tbl>
    <w:p>
      <w:pPr>
        <w:pStyle w:val="Heading2"/>
      </w:pPr>
      <w:r>
        <w:t>Review prompts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Identify local, remote, stdio, HTTP, and gateway-mediated connections.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Record who can change server configuration, startup commands, tool definitions, or upstream endpoints.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Flag local filesystem, shell, browser, database, repository, messaging, deployment, and payment access.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WORKSHEET 02</w:t>
      </w:r>
    </w:p>
    <w:p>
      <w:pPr>
        <w:pStyle w:val="Heading1"/>
      </w:pPr>
      <w:r>
        <w:t>Tool permission matrix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Use one row per tool. Tool descriptions can change model behavior, but server-side authorization must remain independent of those descriptions.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2300"/>
        <w:gridCol w:w="1100"/>
        <w:gridCol w:w="2000"/>
        <w:gridCol w:w="2060"/>
      </w:tblGrid>
      <w:tr>
        <w:trPr>
          <w:tblHeader w:val="true"/>
        </w:trP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Tool and server</w:t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Action / target</w:t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Class</w:t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Default authorization</w:t>
            </w:r>
          </w:p>
        </w:tc>
        <w:tc>
          <w:tcPr>
            <w:tcW w:type="dxa" w:w="20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Destructive or external effect</w:t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</w:tbl>
    <w:p>
      <w:pPr>
        <w:pStyle w:val="Heading2"/>
      </w:pPr>
      <w:r>
        <w:t>Review prompts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Classify actions as read, write, delete, send, execute, approve, deploy, spend, or permission change.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Document default-deny rules, parameter allowlists, tenant checks, and resource-level authorization.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Treat send, delete, merge, deploy, payment, permission, and customer-visible actions as high impact.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WORKSHEET 03</w:t>
      </w:r>
    </w:p>
    <w:p>
      <w:pPr>
        <w:pStyle w:val="Heading1"/>
      </w:pPr>
      <w:r>
        <w:t>OAuth scopes, tokens, and identity binding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Map the credential used by each tool to the human or service identity it represents, including scope, lifetime, storage, rotation, and revocation.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700"/>
        <w:gridCol w:w="2500"/>
        <w:gridCol w:w="1760"/>
        <w:gridCol w:w="1600"/>
      </w:tblGrid>
      <w:tr>
        <w:trPr>
          <w:tblHeader w:val="true"/>
        </w:trP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Credential / OAuth grant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Tools using it</w:t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Scopes and user binding</w:t>
            </w:r>
          </w:p>
        </w:tc>
        <w:tc>
          <w:tcPr>
            <w:tcW w:type="dxa" w:w="17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Lifetime / rotation</w:t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Revocation owner</w:t>
            </w:r>
          </w:p>
        </w:tc>
      </w:tr>
      <w:t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</w:tbl>
    <w:p>
      <w:pPr>
        <w:pStyle w:val="Heading2"/>
      </w:pPr>
      <w:r>
        <w:t>Review prompts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Flag shared credentials and scopes broader than the tool's declared purpose.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Confirm revocation removes effective tool access, including caches, sessions, and downstream tokens.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Record whether approval is tied to the same human identity that owns the action.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WORKSHEET 04</w:t>
      </w:r>
    </w:p>
    <w:p>
      <w:pPr>
        <w:pStyle w:val="Heading1"/>
      </w:pPr>
      <w:r>
        <w:t>Approval, logging, and rate controls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A useful action record connects the human principal to the exact MCP tool call and its result. Generic application logs are rarely enough.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0"/>
        <w:gridCol w:w="3360"/>
      </w:tblGrid>
      <w:tr>
        <w:trPr>
          <w:tblHeader w:val="true"/>
        </w:trP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Control check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Status and notes</w:t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High-impact calls require approval after the final arguments and target are known.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The approval screen shows the exact resource, recipient, repository, environment, amount, or account.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Records include prompt or request reference, tool, arguments, approver, decision, result, and timestamp.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Denied and policy-blocked calls are retained for review.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Rate limits constrain repeated calls, fan-out, and retry behavior.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Logs are protected from tool users and retained long enough for response and customer commitments.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</w:tbl>
    <w:p>
      <w:pPr>
        <w:pStyle w:val="Heading2"/>
      </w:pPr>
      <w:r>
        <w:t>Missing records, approval gaps, and remediation owner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</w:tbl>
    <w:p>
      <w:r>
        <w:br w:type="page"/>
      </w:r>
    </w:p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WORKSHEET 05</w:t>
      </w:r>
    </w:p>
    <w:p>
      <w:pPr>
        <w:pStyle w:val="Heading1"/>
      </w:pPr>
      <w:r>
        <w:t>Blast radius and emergency shutdown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Test the worst credible tool sequence, then verify that a named owner can stop it without depending on the agent, client, or compromised server.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1800"/>
        <w:gridCol w:w="2100"/>
        <w:gridCol w:w="1700"/>
        <w:gridCol w:w="1560"/>
      </w:tblGrid>
      <w:tr>
        <w:trPr>
          <w:tblHeader w:val="true"/>
        </w:trP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Abuse path / sequence</w:t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Maximum impact</w:t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Containment control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Shutdown step</w:t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Test result / owner</w:t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</w:tbl>
    <w:p>
      <w:pPr>
        <w:pStyle w:val="Heading2"/>
      </w:pPr>
      <w:r>
        <w:t>Decision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Release posture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Ready   [ ] Limited pilot   [ ] Blocked   [ ] Formal assessment needed</w:t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Conditions to proceed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Decision owner / date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Next verification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</w:tbl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/>
        <w:b w:val="0"/>
        <w:i w:val="0"/>
        <w:color w:val="5B6675"/>
        <w:sz w:val="16"/>
      </w:rPr>
      <w:t xml:space="preserve">TKOResearch | tkoresearch.com | </w:t>
    </w:r>
    <w:r>
      <w:rPr>
        <w:rFonts w:ascii="Arial" w:hAnsi="Arial"/>
        <w:b w:val="0"/>
        <w:i w:val="0"/>
        <w:color w:val="5B6675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/>
        <w:b/>
        <w:i w:val="0"/>
        <w:color w:val="5B6675"/>
        <w:sz w:val="16"/>
      </w:rPr>
      <w:t>TKORESEARCH / MCP TOOL INVENTORY AND BLAST-RADIUS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/>
      <w:color w:val="16243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/>
      <w:b/>
      <w:bCs/>
      <w:color w:val="B3402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B3402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1624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MCP Tool Inventory and Blast-Radius Worksheet</dc:title>
  <dc:subject>Editable AI security worksheet</dc:subject>
  <dc:creator/>
  <cp:keywords>AI security, worksheet, assessment, engineering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