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</w:pPr>
      <w:r>
        <w:rPr>
          <w:rFonts w:ascii="Arial" w:hAnsi="Arial"/>
          <w:b/>
          <w:i w:val="0"/>
          <w:color w:val="B3402F"/>
          <w:sz w:val="17"/>
        </w:rPr>
        <w:t>AI SECURITY WORKING RESOURCE</w:t>
      </w:r>
    </w:p>
    <w:p>
      <w:pPr>
        <w:keepNext/>
        <w:spacing w:before="0" w:after="160"/>
      </w:pPr>
      <w:r>
        <w:rPr>
          <w:rFonts w:ascii="Arial" w:hAnsi="Arial"/>
          <w:b/>
          <w:i w:val="0"/>
          <w:color w:val="16243A"/>
          <w:sz w:val="52"/>
        </w:rPr>
        <w:t>RAG Boundary Review Worksheet</w:t>
      </w:r>
    </w:p>
    <w:p>
      <w:pPr>
        <w:spacing w:before="0" w:after="360"/>
      </w:pPr>
      <w:r>
        <w:rPr>
          <w:rFonts w:ascii="Arial" w:hAnsi="Arial"/>
          <w:b w:val="0"/>
          <w:i w:val="0"/>
          <w:color w:val="5B6675"/>
          <w:sz w:val="25"/>
        </w:rPr>
        <w:t>Test tenant isolation, source authorization, chunk lineage, metadata filters, trust labels, prompt assembly, and citations.</w:t>
      </w:r>
    </w:p>
    <w:p>
      <w:pPr>
        <w:pStyle w:val="Heading2"/>
      </w:pPr>
      <w:r>
        <w:t>Purpose</w:t>
      </w:r>
    </w:p>
    <w:p>
      <w:pPr>
        <w:spacing w:after="240"/>
      </w:pPr>
      <w:r>
        <w:rPr>
          <w:rFonts w:ascii="Arial" w:hAnsi="Arial"/>
          <w:b w:val="0"/>
          <w:i w:val="0"/>
          <w:color w:val="5B6675"/>
          <w:sz w:val="21"/>
        </w:rPr>
        <w:t>Use this workbook for RAG systems over customer, tenant, regulated, internal, or mixed-trust documents. Review retrieval and prompt assembly as one authorization path.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200"/>
        <w:gridCol w:w="7160"/>
      </w:tblGrid>
      <w:tr>
        <w:tc>
          <w:tcPr>
            <w:tcW w:type="dxa" w:w="22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6243A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System / program</w:t>
            </w:r>
          </w:p>
        </w:tc>
        <w:tc>
          <w:tcPr>
            <w:tcW w:type="dxa" w:w="71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7F8FA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</w:r>
          </w:p>
        </w:tc>
      </w:tr>
      <w:tr>
        <w:tc>
          <w:tcPr>
            <w:tcW w:type="dxa" w:w="22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6243A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Review owner</w:t>
            </w:r>
          </w:p>
        </w:tc>
        <w:tc>
          <w:tcPr>
            <w:tcW w:type="dxa" w:w="71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7F8FA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</w:r>
          </w:p>
        </w:tc>
      </w:tr>
      <w:tr>
        <w:tc>
          <w:tcPr>
            <w:tcW w:type="dxa" w:w="22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6243A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Environment</w:t>
            </w:r>
          </w:p>
        </w:tc>
        <w:tc>
          <w:tcPr>
            <w:tcW w:type="dxa" w:w="71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7F8FA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t>[ ] Prototype   [ ] Pilot   [ ] Production</w:t>
            </w:r>
          </w:p>
        </w:tc>
      </w:tr>
      <w:tr>
        <w:tc>
          <w:tcPr>
            <w:tcW w:type="dxa" w:w="22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6243A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Review date / next review</w:t>
            </w:r>
          </w:p>
        </w:tc>
        <w:tc>
          <w:tcPr>
            <w:tcW w:type="dxa" w:w="71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7F8FA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</w:r>
          </w:p>
        </w:tc>
      </w:tr>
    </w:tbl>
    <w:p>
      <w:pPr>
        <w:pStyle w:val="Heading2"/>
      </w:pPr>
      <w:r>
        <w:t>How to use this worksheet</w:t>
      </w:r>
    </w:p>
    <w:p>
      <w:pPr>
        <w:spacing w:after="80"/>
        <w:ind w:left="540" w:hanging="271"/>
      </w:pPr>
      <w:r>
        <w:rPr>
          <w:rFonts w:ascii="Arial" w:hAnsi="Arial"/>
          <w:b w:val="0"/>
          <w:i w:val="0"/>
          <w:color w:val="16243A"/>
          <w:sz w:val="20"/>
        </w:rPr>
        <w:t>[ ] Use one row per system, tool, credential, source, action, or test. Add rows in Word when needed.</w:t>
      </w:r>
    </w:p>
    <w:p>
      <w:pPr>
        <w:spacing w:after="80"/>
        <w:ind w:left="540" w:hanging="271"/>
      </w:pPr>
      <w:r>
        <w:rPr>
          <w:rFonts w:ascii="Arial" w:hAnsi="Arial"/>
          <w:b w:val="0"/>
          <w:i w:val="0"/>
          <w:color w:val="16243A"/>
          <w:sz w:val="20"/>
        </w:rPr>
        <w:t>[ ] Use factual system state. Do not place passwords, private keys, access tokens, or unnecessary personal data in the file.</w:t>
      </w:r>
    </w:p>
    <w:p>
      <w:pPr>
        <w:spacing w:after="80"/>
        <w:ind w:left="540" w:hanging="271"/>
      </w:pPr>
      <w:r>
        <w:rPr>
          <w:rFonts w:ascii="Arial" w:hAnsi="Arial"/>
          <w:b w:val="0"/>
          <w:i w:val="0"/>
          <w:color w:val="16243A"/>
          <w:sz w:val="20"/>
        </w:rPr>
        <w:t>[ ] Assign an owner and verification step to every blocker. Re-review after architecture, permission, or model changes.</w:t>
      </w:r>
    </w:p>
    <w:p>
      <w:pPr>
        <w:spacing w:after="80"/>
        <w:ind w:left="540" w:hanging="271"/>
      </w:pPr>
      <w:r>
        <w:rPr>
          <w:rFonts w:ascii="Arial" w:hAnsi="Arial"/>
          <w:b w:val="0"/>
          <w:i w:val="0"/>
          <w:color w:val="16243A"/>
          <w:sz w:val="20"/>
        </w:rPr>
        <w:t>[ ] This worksheet supports engineering review. It does not replace product-specific testing or a formal security assessment.</w:t>
      </w:r>
    </w:p>
    <w:p>
      <w:pPr>
        <w:spacing w:before="280" w:after="0"/>
      </w:pPr>
      <w:r>
        <w:rPr>
          <w:rFonts w:ascii="Arial" w:hAnsi="Arial"/>
          <w:b/>
          <w:i w:val="0"/>
          <w:color w:val="B3402F"/>
          <w:sz w:val="18"/>
        </w:rPr>
        <w:t>Handling note: keep credentials, customer identifiers, and restricted system details out of shareable copies.</w:t>
      </w:r>
    </w:p>
    <w:p>
      <w:r>
        <w:br w:type="page"/>
      </w:r>
    </w:p>
    <w:p>
      <w:pPr>
        <w:spacing w:before="0" w:after="80"/>
      </w:pPr>
      <w:r>
        <w:rPr>
          <w:rFonts w:ascii="Arial" w:hAnsi="Arial"/>
          <w:b/>
          <w:i w:val="0"/>
          <w:color w:val="B3402F"/>
          <w:sz w:val="17"/>
        </w:rPr>
        <w:t>WORKSHEET 01</w:t>
      </w:r>
    </w:p>
    <w:p>
      <w:pPr>
        <w:pStyle w:val="Heading1"/>
      </w:pPr>
      <w:r>
        <w:t>Source and retrieval architecture inventory</w:t>
      </w:r>
    </w:p>
    <w:p>
      <w:pPr>
        <w:spacing w:after="240"/>
      </w:pPr>
      <w:r>
        <w:rPr>
          <w:rFonts w:ascii="Arial" w:hAnsi="Arial"/>
          <w:b w:val="0"/>
          <w:i w:val="0"/>
          <w:color w:val="5B6675"/>
          <w:sz w:val="21"/>
        </w:rPr>
        <w:t>Create one row per source collection. Record the source authorization model and how those rules are carried into ingestion, indexing, retrieval, and generation.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800"/>
        <w:gridCol w:w="1700"/>
        <w:gridCol w:w="2500"/>
        <w:gridCol w:w="1700"/>
        <w:gridCol w:w="1660"/>
      </w:tblGrid>
      <w:tr>
        <w:trPr>
          <w:tblHeader w:val="true"/>
        </w:trPr>
        <w:tc>
          <w:tcPr>
            <w:tcW w:type="dxa" w:w="18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6243A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Source / owner</w:t>
            </w:r>
          </w:p>
        </w:tc>
        <w:tc>
          <w:tcPr>
            <w:tcW w:type="dxa" w:w="1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6243A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Users and tenants</w:t>
            </w:r>
          </w:p>
        </w:tc>
        <w:tc>
          <w:tcPr>
            <w:tcW w:type="dxa" w:w="2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6243A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Source authorization</w:t>
            </w:r>
          </w:p>
        </w:tc>
        <w:tc>
          <w:tcPr>
            <w:tcW w:type="dxa" w:w="1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6243A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Index / namespace</w:t>
            </w:r>
          </w:p>
        </w:tc>
        <w:tc>
          <w:tcPr>
            <w:tcW w:type="dxa" w:w="1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6243A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Trust and sensitivity</w:t>
            </w:r>
          </w:p>
        </w:tc>
      </w:tr>
      <w:tr>
        <w:tc>
          <w:tcPr>
            <w:tcW w:type="dxa" w:w="18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1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2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1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1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</w:tr>
      <w:tr>
        <w:tc>
          <w:tcPr>
            <w:tcW w:type="dxa" w:w="18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1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2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1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1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</w:tr>
      <w:tr>
        <w:tc>
          <w:tcPr>
            <w:tcW w:type="dxa" w:w="18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1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2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1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1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</w:tr>
      <w:tr>
        <w:tc>
          <w:tcPr>
            <w:tcW w:type="dxa" w:w="18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1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2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1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1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</w:tr>
      <w:tr>
        <w:tc>
          <w:tcPr>
            <w:tcW w:type="dxa" w:w="18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1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2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1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1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</w:tr>
      <w:tr>
        <w:tc>
          <w:tcPr>
            <w:tcW w:type="dxa" w:w="18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1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2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1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1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</w:tr>
      <w:tr>
        <w:tc>
          <w:tcPr>
            <w:tcW w:type="dxa" w:w="18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1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2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1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1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</w:tr>
    </w:tbl>
    <w:p>
      <w:pPr>
        <w:pStyle w:val="Heading2"/>
      </w:pPr>
      <w:r>
        <w:t>Review prompts</w:t>
      </w:r>
    </w:p>
    <w:p>
      <w:pPr>
        <w:spacing w:after="80"/>
        <w:ind w:left="540" w:hanging="271"/>
      </w:pPr>
      <w:r>
        <w:rPr>
          <w:rFonts w:ascii="Arial" w:hAnsi="Arial"/>
          <w:b w:val="0"/>
          <w:i w:val="0"/>
          <w:color w:val="16243A"/>
          <w:sz w:val="19"/>
        </w:rPr>
        <w:t>[ ] Separate public, internal, customer, regulated, and administrator-only collections.</w:t>
      </w:r>
    </w:p>
    <w:p>
      <w:pPr>
        <w:spacing w:after="80"/>
        <w:ind w:left="540" w:hanging="271"/>
      </w:pPr>
      <w:r>
        <w:rPr>
          <w:rFonts w:ascii="Arial" w:hAnsi="Arial"/>
          <w:b w:val="0"/>
          <w:i w:val="0"/>
          <w:color w:val="16243A"/>
          <w:sz w:val="19"/>
        </w:rPr>
        <w:t>[ ] Document deletion, re-indexing, permission-change, and stale-content behavior.</w:t>
      </w:r>
    </w:p>
    <w:p>
      <w:pPr>
        <w:spacing w:after="80"/>
        <w:ind w:left="540" w:hanging="271"/>
      </w:pPr>
      <w:r>
        <w:rPr>
          <w:rFonts w:ascii="Arial" w:hAnsi="Arial"/>
          <w:b w:val="0"/>
          <w:i w:val="0"/>
          <w:color w:val="16243A"/>
          <w:sz w:val="19"/>
        </w:rPr>
        <w:t>[ ] Flag collections that combine tenants, trust levels, or incompatible retention rules.</w:t>
      </w:r>
    </w:p>
    <w:p>
      <w:r>
        <w:br w:type="page"/>
      </w:r>
    </w:p>
    <w:p>
      <w:pPr>
        <w:spacing w:before="0" w:after="80"/>
      </w:pPr>
      <w:r>
        <w:rPr>
          <w:rFonts w:ascii="Arial" w:hAnsi="Arial"/>
          <w:b/>
          <w:i w:val="0"/>
          <w:color w:val="B3402F"/>
          <w:sz w:val="17"/>
        </w:rPr>
        <w:t>WORKSHEET 02</w:t>
      </w:r>
    </w:p>
    <w:p>
      <w:pPr>
        <w:pStyle w:val="Heading1"/>
      </w:pPr>
      <w:r>
        <w:t>Tenant and document authorization tests</w:t>
      </w:r>
    </w:p>
    <w:p>
      <w:pPr>
        <w:spacing w:after="240"/>
      </w:pPr>
      <w:r>
        <w:rPr>
          <w:rFonts w:ascii="Arial" w:hAnsi="Arial"/>
          <w:b w:val="0"/>
          <w:i w:val="0"/>
          <w:color w:val="5B6675"/>
          <w:sz w:val="21"/>
        </w:rPr>
        <w:t>A user should never retrieve a chunk they could not open directly in the source system. Test allow and deny cases with known restricted material.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400"/>
        <w:gridCol w:w="1200"/>
        <w:gridCol w:w="2400"/>
        <w:gridCol w:w="2160"/>
        <w:gridCol w:w="1200"/>
      </w:tblGrid>
      <w:tr>
        <w:trPr>
          <w:tblHeader w:val="true"/>
        </w:trPr>
        <w:tc>
          <w:tcPr>
            <w:tcW w:type="dxa" w:w="24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6243A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Test identity and query</w:t>
            </w:r>
          </w:p>
        </w:tc>
        <w:tc>
          <w:tcPr>
            <w:tcW w:type="dxa" w:w="12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6243A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Expected</w:t>
            </w:r>
          </w:p>
        </w:tc>
        <w:tc>
          <w:tcPr>
            <w:tcW w:type="dxa" w:w="24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6243A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Observed chunks / filters</w:t>
            </w:r>
          </w:p>
        </w:tc>
        <w:tc>
          <w:tcPr>
            <w:tcW w:type="dxa" w:w="21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6243A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Result and artifact</w:t>
            </w:r>
          </w:p>
        </w:tc>
        <w:tc>
          <w:tcPr>
            <w:tcW w:type="dxa" w:w="12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6243A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Fix owner</w:t>
            </w:r>
          </w:p>
        </w:tc>
      </w:tr>
      <w:tr>
        <w:tc>
          <w:tcPr>
            <w:tcW w:type="dxa" w:w="24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12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24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21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12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</w:tr>
      <w:tr>
        <w:tc>
          <w:tcPr>
            <w:tcW w:type="dxa" w:w="24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12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24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21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12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</w:tr>
      <w:tr>
        <w:tc>
          <w:tcPr>
            <w:tcW w:type="dxa" w:w="24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12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24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21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12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</w:tr>
      <w:tr>
        <w:tc>
          <w:tcPr>
            <w:tcW w:type="dxa" w:w="24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12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24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21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12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</w:tr>
      <w:tr>
        <w:tc>
          <w:tcPr>
            <w:tcW w:type="dxa" w:w="24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12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24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21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12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</w:tr>
      <w:tr>
        <w:tc>
          <w:tcPr>
            <w:tcW w:type="dxa" w:w="24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12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24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21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12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</w:tr>
      <w:tr>
        <w:tc>
          <w:tcPr>
            <w:tcW w:type="dxa" w:w="24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12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24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21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12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</w:tr>
    </w:tbl>
    <w:p>
      <w:pPr>
        <w:pStyle w:val="Heading2"/>
      </w:pPr>
      <w:r>
        <w:t>Review prompts</w:t>
      </w:r>
    </w:p>
    <w:p>
      <w:pPr>
        <w:spacing w:after="80"/>
        <w:ind w:left="540" w:hanging="271"/>
      </w:pPr>
      <w:r>
        <w:rPr>
          <w:rFonts w:ascii="Arial" w:hAnsi="Arial"/>
          <w:b w:val="0"/>
          <w:i w:val="0"/>
          <w:color w:val="16243A"/>
          <w:sz w:val="19"/>
        </w:rPr>
        <w:t>[ ] Include cross-tenant, cross-role, deleted-document, stale-permission, and missing-metadata cases.</w:t>
      </w:r>
    </w:p>
    <w:p>
      <w:pPr>
        <w:spacing w:after="80"/>
        <w:ind w:left="540" w:hanging="271"/>
      </w:pPr>
      <w:r>
        <w:rPr>
          <w:rFonts w:ascii="Arial" w:hAnsi="Arial"/>
          <w:b w:val="0"/>
          <w:i w:val="0"/>
          <w:color w:val="16243A"/>
          <w:sz w:val="19"/>
        </w:rPr>
        <w:t>[ ] Record the actual retrieved document and chunk identifiers, not only the generated answer.</w:t>
      </w:r>
    </w:p>
    <w:p>
      <w:pPr>
        <w:spacing w:after="80"/>
        <w:ind w:left="540" w:hanging="271"/>
      </w:pPr>
      <w:r>
        <w:rPr>
          <w:rFonts w:ascii="Arial" w:hAnsi="Arial"/>
          <w:b w:val="0"/>
          <w:i w:val="0"/>
          <w:color w:val="16243A"/>
          <w:sz w:val="19"/>
        </w:rPr>
        <w:t>[ ] Test omitted, empty, malformed, stale, and over-broad metadata filters.</w:t>
      </w:r>
    </w:p>
    <w:p>
      <w:r>
        <w:br w:type="page"/>
      </w:r>
    </w:p>
    <w:p>
      <w:pPr>
        <w:spacing w:before="0" w:after="80"/>
      </w:pPr>
      <w:r>
        <w:rPr>
          <w:rFonts w:ascii="Arial" w:hAnsi="Arial"/>
          <w:b/>
          <w:i w:val="0"/>
          <w:color w:val="B3402F"/>
          <w:sz w:val="17"/>
        </w:rPr>
        <w:t>WORKSHEET 03</w:t>
      </w:r>
    </w:p>
    <w:p>
      <w:pPr>
        <w:pStyle w:val="Heading1"/>
      </w:pPr>
      <w:r>
        <w:t>Chunk lineage and metadata integrity</w:t>
      </w:r>
    </w:p>
    <w:p>
      <w:pPr>
        <w:spacing w:after="240"/>
      </w:pPr>
      <w:r>
        <w:rPr>
          <w:rFonts w:ascii="Arial" w:hAnsi="Arial"/>
          <w:b w:val="0"/>
          <w:i w:val="0"/>
          <w:color w:val="5B6675"/>
          <w:sz w:val="21"/>
        </w:rPr>
        <w:t>Every chunk should remain traceable to an authorized source document and the permission state used when it entered the index.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700"/>
        <w:gridCol w:w="2100"/>
        <w:gridCol w:w="2200"/>
        <w:gridCol w:w="1900"/>
        <w:gridCol w:w="1460"/>
      </w:tblGrid>
      <w:tr>
        <w:trPr>
          <w:tblHeader w:val="true"/>
        </w:trPr>
        <w:tc>
          <w:tcPr>
            <w:tcW w:type="dxa" w:w="1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6243A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Chunk / document ID</w:t>
            </w:r>
          </w:p>
        </w:tc>
        <w:tc>
          <w:tcPr>
            <w:tcW w:type="dxa" w:w="21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6243A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Source and section</w:t>
            </w:r>
          </w:p>
        </w:tc>
        <w:tc>
          <w:tcPr>
            <w:tcW w:type="dxa" w:w="22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6243A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Tenant / ACL reference</w:t>
            </w:r>
          </w:p>
        </w:tc>
        <w:tc>
          <w:tcPr>
            <w:tcW w:type="dxa" w:w="19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6243A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Ingest and permission state</w:t>
            </w:r>
          </w:p>
        </w:tc>
        <w:tc>
          <w:tcPr>
            <w:tcW w:type="dxa" w:w="14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6243A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Citation behavior</w:t>
            </w:r>
          </w:p>
        </w:tc>
      </w:tr>
      <w:tr>
        <w:tc>
          <w:tcPr>
            <w:tcW w:type="dxa" w:w="1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21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22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19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14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</w:tr>
      <w:tr>
        <w:tc>
          <w:tcPr>
            <w:tcW w:type="dxa" w:w="1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21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22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19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14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</w:tr>
      <w:tr>
        <w:tc>
          <w:tcPr>
            <w:tcW w:type="dxa" w:w="1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21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22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19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14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</w:tr>
      <w:tr>
        <w:tc>
          <w:tcPr>
            <w:tcW w:type="dxa" w:w="1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21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22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19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14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</w:tr>
      <w:tr>
        <w:tc>
          <w:tcPr>
            <w:tcW w:type="dxa" w:w="1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21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22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19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14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</w:tr>
      <w:tr>
        <w:tc>
          <w:tcPr>
            <w:tcW w:type="dxa" w:w="1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21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22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19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14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</w:tr>
      <w:tr>
        <w:tc>
          <w:tcPr>
            <w:tcW w:type="dxa" w:w="1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21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22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19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14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</w:tr>
    </w:tbl>
    <w:p>
      <w:pPr>
        <w:pStyle w:val="Heading2"/>
      </w:pPr>
      <w:r>
        <w:t>Review prompts</w:t>
      </w:r>
    </w:p>
    <w:p>
      <w:pPr>
        <w:spacing w:after="80"/>
        <w:ind w:left="540" w:hanging="271"/>
      </w:pPr>
      <w:r>
        <w:rPr>
          <w:rFonts w:ascii="Arial" w:hAnsi="Arial"/>
          <w:b w:val="0"/>
          <w:i w:val="0"/>
          <w:color w:val="16243A"/>
          <w:sz w:val="19"/>
        </w:rPr>
        <w:t>[ ] Preserve source document ID, section or page, tenant, trust label, ingest time, and permission reference.</w:t>
      </w:r>
    </w:p>
    <w:p>
      <w:pPr>
        <w:spacing w:after="80"/>
        <w:ind w:left="540" w:hanging="271"/>
      </w:pPr>
      <w:r>
        <w:rPr>
          <w:rFonts w:ascii="Arial" w:hAnsi="Arial"/>
          <w:b w:val="0"/>
          <w:i w:val="0"/>
          <w:color w:val="16243A"/>
          <w:sz w:val="19"/>
        </w:rPr>
        <w:t>[ ] Detect orphaned chunks, duplicate identifiers, stale ACLs, and documents deleted from the source.</w:t>
      </w:r>
    </w:p>
    <w:p>
      <w:pPr>
        <w:spacing w:after="80"/>
        <w:ind w:left="540" w:hanging="271"/>
      </w:pPr>
      <w:r>
        <w:rPr>
          <w:rFonts w:ascii="Arial" w:hAnsi="Arial"/>
          <w:b w:val="0"/>
          <w:i w:val="0"/>
          <w:color w:val="16243A"/>
          <w:sz w:val="19"/>
        </w:rPr>
        <w:t>[ ] Confirm citations do not reveal restricted titles, paths, labels, or neighboring chunks.</w:t>
      </w:r>
    </w:p>
    <w:p>
      <w:r>
        <w:br w:type="page"/>
      </w:r>
    </w:p>
    <w:p>
      <w:pPr>
        <w:spacing w:before="0" w:after="80"/>
      </w:pPr>
      <w:r>
        <w:rPr>
          <w:rFonts w:ascii="Arial" w:hAnsi="Arial"/>
          <w:b/>
          <w:i w:val="0"/>
          <w:color w:val="B3402F"/>
          <w:sz w:val="17"/>
        </w:rPr>
        <w:t>WORKSHEET 04</w:t>
      </w:r>
    </w:p>
    <w:p>
      <w:pPr>
        <w:pStyle w:val="Heading1"/>
      </w:pPr>
      <w:r>
        <w:t>Trust labels and prompt assembly</w:t>
      </w:r>
    </w:p>
    <w:p>
      <w:pPr>
        <w:spacing w:after="240"/>
      </w:pPr>
      <w:r>
        <w:rPr>
          <w:rFonts w:ascii="Arial" w:hAnsi="Arial"/>
          <w:b w:val="0"/>
          <w:i w:val="0"/>
          <w:color w:val="5B6675"/>
          <w:sz w:val="21"/>
        </w:rPr>
        <w:t>Retrieved content can contain malicious instructions. Prompt assembly must label it as data and keep it below system policy and server-side authorization.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6000"/>
        <w:gridCol w:w="3360"/>
      </w:tblGrid>
      <w:tr>
        <w:trPr>
          <w:tblHeader w:val="true"/>
        </w:trPr>
        <w:tc>
          <w:tcPr>
            <w:tcW w:type="dxa" w:w="6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6243A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Control check</w:t>
            </w:r>
          </w:p>
        </w:tc>
        <w:tc>
          <w:tcPr>
            <w:tcW w:type="dxa" w:w="33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6243A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Status and notes</w:t>
            </w:r>
          </w:p>
        </w:tc>
      </w:tr>
      <w:tr>
        <w:tc>
          <w:tcPr>
            <w:tcW w:type="dxa" w:w="6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7F8FA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t>Prompt assembly distinguishes system policy, user request, retrieved data, and tool output.</w:t>
            </w:r>
          </w:p>
        </w:tc>
        <w:tc>
          <w:tcPr>
            <w:tcW w:type="dxa" w:w="33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7F8FA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t>[ ] Yes   [ ] No   [ ] N/A</w:t>
              <w:br/>
            </w:r>
          </w:p>
        </w:tc>
      </w:tr>
      <w:tr>
        <w:tc>
          <w:tcPr>
            <w:tcW w:type="dxa" w:w="6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7F8FA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t>Documents cannot redefine tool permissions, approval requirements, or the system role.</w:t>
            </w:r>
          </w:p>
        </w:tc>
        <w:tc>
          <w:tcPr>
            <w:tcW w:type="dxa" w:w="33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7F8FA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t>[ ] Yes   [ ] No   [ ] N/A</w:t>
              <w:br/>
            </w:r>
          </w:p>
        </w:tc>
      </w:tr>
      <w:tr>
        <w:tc>
          <w:tcPr>
            <w:tcW w:type="dxa" w:w="6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7F8FA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t>Untrusted instructions are quoted, delimited, filtered, or otherwise prevented from becoming policy.</w:t>
            </w:r>
          </w:p>
        </w:tc>
        <w:tc>
          <w:tcPr>
            <w:tcW w:type="dxa" w:w="33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7F8FA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t>[ ] Yes   [ ] No   [ ] N/A</w:t>
              <w:br/>
            </w:r>
          </w:p>
        </w:tc>
      </w:tr>
      <w:tr>
        <w:tc>
          <w:tcPr>
            <w:tcW w:type="dxa" w:w="6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7F8FA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t>The agent cannot use retrieved secrets, hidden metadata, or internal instructions outside the user's authority.</w:t>
            </w:r>
          </w:p>
        </w:tc>
        <w:tc>
          <w:tcPr>
            <w:tcW w:type="dxa" w:w="33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7F8FA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t>[ ] Yes   [ ] No   [ ] N/A</w:t>
              <w:br/>
            </w:r>
          </w:p>
        </w:tc>
      </w:tr>
      <w:tr>
        <w:tc>
          <w:tcPr>
            <w:tcW w:type="dxa" w:w="6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7F8FA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t>Source citations remain attached after ranking, summarization, reranking, and answer generation.</w:t>
            </w:r>
          </w:p>
        </w:tc>
        <w:tc>
          <w:tcPr>
            <w:tcW w:type="dxa" w:w="33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7F8FA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t>[ ] Yes   [ ] No   [ ] N/A</w:t>
              <w:br/>
            </w:r>
          </w:p>
        </w:tc>
      </w:tr>
      <w:tr>
        <w:tc>
          <w:tcPr>
            <w:tcW w:type="dxa" w:w="6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7F8FA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t>Regression tests include indirect prompt injection and cross-document instruction conflicts.</w:t>
            </w:r>
          </w:p>
        </w:tc>
        <w:tc>
          <w:tcPr>
            <w:tcW w:type="dxa" w:w="33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7F8FA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t>[ ] Yes   [ ] No   [ ] N/A</w:t>
              <w:br/>
            </w:r>
          </w:p>
        </w:tc>
      </w:tr>
    </w:tbl>
    <w:p>
      <w:pPr>
        <w:pStyle w:val="Heading2"/>
      </w:pPr>
      <w:r>
        <w:t>Prompt assembly gaps, trust-label exceptions, and owner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7F8FA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</w:r>
          </w:p>
        </w:tc>
      </w:tr>
      <w:tr>
        <w:tc>
          <w:tcPr>
            <w:tcW w:type="dxa" w:w="93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7F8FA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</w:r>
          </w:p>
        </w:tc>
      </w:tr>
      <w:tr>
        <w:tc>
          <w:tcPr>
            <w:tcW w:type="dxa" w:w="93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7F8FA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</w:r>
          </w:p>
        </w:tc>
      </w:tr>
      <w:tr>
        <w:tc>
          <w:tcPr>
            <w:tcW w:type="dxa" w:w="93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7F8FA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</w:r>
          </w:p>
        </w:tc>
      </w:tr>
    </w:tbl>
    <w:p>
      <w:r>
        <w:br w:type="page"/>
      </w:r>
    </w:p>
    <w:p>
      <w:pPr>
        <w:spacing w:before="0" w:after="80"/>
      </w:pPr>
      <w:r>
        <w:rPr>
          <w:rFonts w:ascii="Arial" w:hAnsi="Arial"/>
          <w:b/>
          <w:i w:val="0"/>
          <w:color w:val="B3402F"/>
          <w:sz w:val="17"/>
        </w:rPr>
        <w:t>WORKSHEET 05</w:t>
      </w:r>
    </w:p>
    <w:p>
      <w:pPr>
        <w:pStyle w:val="Heading1"/>
      </w:pPr>
      <w:r>
        <w:t>Boundary findings and release decision</w:t>
      </w:r>
    </w:p>
    <w:p>
      <w:pPr>
        <w:spacing w:after="240"/>
      </w:pPr>
      <w:r>
        <w:rPr>
          <w:rFonts w:ascii="Arial" w:hAnsi="Arial"/>
          <w:b w:val="0"/>
          <w:i w:val="0"/>
          <w:color w:val="5B6675"/>
          <w:sz w:val="21"/>
        </w:rPr>
        <w:t>Record conditions that must hold before release. A cross-tenant retrieval or a source-authorization bypass is a release blocker.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600"/>
        <w:gridCol w:w="1100"/>
        <w:gridCol w:w="2560"/>
        <w:gridCol w:w="1500"/>
        <w:gridCol w:w="1600"/>
      </w:tblGrid>
      <w:tr>
        <w:trPr>
          <w:tblHeader w:val="true"/>
        </w:trPr>
        <w:tc>
          <w:tcPr>
            <w:tcW w:type="dxa" w:w="26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6243A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Finding or condition</w:t>
            </w:r>
          </w:p>
        </w:tc>
        <w:tc>
          <w:tcPr>
            <w:tcW w:type="dxa" w:w="11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6243A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Severity</w:t>
            </w:r>
          </w:p>
        </w:tc>
        <w:tc>
          <w:tcPr>
            <w:tcW w:type="dxa" w:w="25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6243A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Required change</w:t>
            </w:r>
          </w:p>
        </w:tc>
        <w:tc>
          <w:tcPr>
            <w:tcW w:type="dxa" w:w="1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6243A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Owner</w:t>
            </w:r>
          </w:p>
        </w:tc>
        <w:tc>
          <w:tcPr>
            <w:tcW w:type="dxa" w:w="16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6243A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Due / verified</w:t>
            </w:r>
          </w:p>
        </w:tc>
      </w:tr>
      <w:tr>
        <w:tc>
          <w:tcPr>
            <w:tcW w:type="dxa" w:w="26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11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25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1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16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</w:tr>
      <w:tr>
        <w:tc>
          <w:tcPr>
            <w:tcW w:type="dxa" w:w="26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11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25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1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16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</w:tr>
      <w:tr>
        <w:tc>
          <w:tcPr>
            <w:tcW w:type="dxa" w:w="26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11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25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1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16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</w:tr>
      <w:tr>
        <w:tc>
          <w:tcPr>
            <w:tcW w:type="dxa" w:w="26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11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25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1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16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</w:tr>
      <w:tr>
        <w:tc>
          <w:tcPr>
            <w:tcW w:type="dxa" w:w="26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11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25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1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16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</w:tr>
      <w:tr>
        <w:tc>
          <w:tcPr>
            <w:tcW w:type="dxa" w:w="26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11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25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1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  <w:tc>
          <w:tcPr>
            <w:tcW w:type="dxa" w:w="16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  <w:br/>
            </w:r>
          </w:p>
        </w:tc>
      </w:tr>
    </w:tbl>
    <w:p>
      <w:pPr>
        <w:pStyle w:val="Heading2"/>
      </w:pPr>
      <w:r>
        <w:t>Decision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200"/>
        <w:gridCol w:w="7160"/>
      </w:tblGrid>
      <w:tr>
        <w:tc>
          <w:tcPr>
            <w:tcW w:type="dxa" w:w="22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6243A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Release posture</w:t>
            </w:r>
          </w:p>
        </w:tc>
        <w:tc>
          <w:tcPr>
            <w:tcW w:type="dxa" w:w="71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7F8FA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t>[ ] Ready   [ ] Limited pilot   [ ] Blocked   [ ] Formal assessment needed</w:t>
            </w:r>
          </w:p>
        </w:tc>
      </w:tr>
      <w:tr>
        <w:tc>
          <w:tcPr>
            <w:tcW w:type="dxa" w:w="22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6243A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Conditions to proceed</w:t>
            </w:r>
          </w:p>
        </w:tc>
        <w:tc>
          <w:tcPr>
            <w:tcW w:type="dxa" w:w="71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7F8FA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</w:r>
          </w:p>
        </w:tc>
      </w:tr>
      <w:tr>
        <w:tc>
          <w:tcPr>
            <w:tcW w:type="dxa" w:w="22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6243A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Decision owner / date</w:t>
            </w:r>
          </w:p>
        </w:tc>
        <w:tc>
          <w:tcPr>
            <w:tcW w:type="dxa" w:w="71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7F8FA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</w:r>
          </w:p>
        </w:tc>
      </w:tr>
      <w:tr>
        <w:tc>
          <w:tcPr>
            <w:tcW w:type="dxa" w:w="22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6243A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Next verification</w:t>
            </w:r>
          </w:p>
        </w:tc>
        <w:tc>
          <w:tcPr>
            <w:tcW w:type="dxa" w:w="71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7F8FA"/>
          </w:tcPr>
          <w:p>
            <w:pPr>
              <w:spacing w:before="0" w:after="0" w:line="264" w:lineRule="auto"/>
            </w:pPr>
            <w:r>
              <w:rPr>
                <w:rFonts w:ascii="Arial" w:hAnsi="Arial"/>
                <w:b w:val="0"/>
                <w:i w:val="0"/>
                <w:color w:val="16243A"/>
                <w:sz w:val="17"/>
              </w:rPr>
              <w:br/>
            </w:r>
          </w:p>
        </w:tc>
      </w:tr>
    </w:tbl>
    <w:sectPr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right"/>
    </w:pPr>
    <w:r>
      <w:rPr>
        <w:rFonts w:ascii="Arial" w:hAnsi="Arial"/>
        <w:b w:val="0"/>
        <w:i w:val="0"/>
        <w:color w:val="5B6675"/>
        <w:sz w:val="16"/>
      </w:rPr>
      <w:t xml:space="preserve">TKOResearch | tkoresearch.com | </w:t>
    </w:r>
    <w:r>
      <w:rPr>
        <w:rFonts w:ascii="Arial" w:hAnsi="Arial"/>
        <w:b w:val="0"/>
        <w:i w:val="0"/>
        <w:color w:val="5B6675"/>
        <w:sz w:val="16"/>
      </w:rPr>
      <w:fldChar w:fldCharType="begin"/>
      <w:instrText xml:space="preserve">PAGE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</w:pPr>
    <w:r>
      <w:rPr>
        <w:rFonts w:ascii="Arial" w:hAnsi="Arial"/>
        <w:b/>
        <w:i w:val="0"/>
        <w:color w:val="5B6675"/>
        <w:sz w:val="16"/>
      </w:rPr>
      <w:t>TKORESEARCH / RAG BOUNDARY REVIEW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Arial" w:hAnsi="Arial"/>
      <w:color w:val="16243A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Arial" w:hAnsi="Arial"/>
      <w:b/>
      <w:bCs/>
      <w:color w:val="B3402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Arial" w:hAnsi="Arial"/>
      <w:b/>
      <w:bCs/>
      <w:color w:val="B3402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Arial" w:hAnsi="Arial"/>
      <w:b/>
      <w:bCs/>
      <w:color w:val="16243A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RAG Boundary Review Worksheet</dc:title>
  <dc:subject>Editable AI security worksheet</dc:subject>
  <dc:creator/>
  <cp:keywords>AI security, worksheet, assessment, engineering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